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b280714"/>
        <w:tblW w:w="0" w:type="auto"/>
        <w:tblInd w:w="0" w:type="dxa"/>
        <w:tblLook w:val="04A0" w:firstRow="1" w:lastRow="0" w:firstColumn="1" w:lastColumn="0" w:noHBand="0" w:noVBand="1"/>
      </w:tblPr>
      <w:tblGrid>
        <w:gridCol w:w="1928"/>
        <w:gridCol w:w="4957"/>
        <w:gridCol w:w="3580"/>
      </w:tblGrid>
      <w:tr w:rsidR="000E283E">
        <w:trPr>
          <w:trHeight w:val="14"/>
        </w:trPr>
        <w:tc>
          <w:tcPr>
            <w:tcW w:w="1984" w:type="dxa"/>
            <w:noWrap/>
          </w:tcPr>
          <w:p w:rsidR="000E283E" w:rsidRDefault="001832FF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noWrap/>
          </w:tcPr>
          <w:p w:rsidR="000E283E" w:rsidRDefault="00E76393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0E283E" w:rsidRDefault="00E76393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0E283E" w:rsidRDefault="00E76393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0E283E" w:rsidRDefault="00E76393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0E283E" w:rsidRDefault="00E76393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0E283E" w:rsidRDefault="00E76393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 w:rsidR="00683169">
              <w:rPr>
                <w:lang w:val="sr-Cyrl-RS"/>
              </w:rPr>
              <w:t>.</w:t>
            </w:r>
            <w:r>
              <w:t>И</w:t>
            </w:r>
            <w:r w:rsidR="00683169">
              <w:rPr>
                <w:lang w:val="sr-Cyrl-RS"/>
              </w:rPr>
              <w:t>.</w:t>
            </w:r>
            <w:r>
              <w:t xml:space="preserve"> 363/25</w:t>
            </w:r>
          </w:p>
          <w:p w:rsidR="000E283E" w:rsidRDefault="00683169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09.03</w:t>
            </w:r>
            <w:r w:rsidR="00106E8A">
              <w:t>.2026</w:t>
            </w:r>
            <w:r w:rsidR="00E76393">
              <w:t xml:space="preserve">. </w:t>
            </w:r>
            <w:proofErr w:type="spellStart"/>
            <w:r w:rsidR="00E76393">
              <w:t>године</w:t>
            </w:r>
            <w:proofErr w:type="spellEnd"/>
          </w:p>
          <w:p w:rsidR="000E283E" w:rsidRDefault="00E76393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0E283E" w:rsidRDefault="00E76393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  <w:noWrap/>
          </w:tcPr>
          <w:p w:rsidR="000E283E" w:rsidRDefault="000E283E">
            <w:pPr>
              <w:pStyle w:val="rightaligned"/>
            </w:pPr>
          </w:p>
        </w:tc>
      </w:tr>
    </w:tbl>
    <w:p w:rsidR="000E283E" w:rsidRDefault="000E283E"/>
    <w:p w:rsidR="000E283E" w:rsidRDefault="00E76393">
      <w:pPr>
        <w:pStyle w:val="non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Аранђеловца</w:t>
      </w:r>
      <w:proofErr w:type="spellEnd"/>
      <w:r>
        <w:t xml:space="preserve">, </w:t>
      </w:r>
      <w:proofErr w:type="spellStart"/>
      <w:r>
        <w:t>Именован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,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DOO MOKRIN </w:t>
      </w:r>
      <w:proofErr w:type="spellStart"/>
      <w:r>
        <w:t>MOKRIN</w:t>
      </w:r>
      <w:proofErr w:type="spellEnd"/>
      <w:r>
        <w:t xml:space="preserve">, </w:t>
      </w:r>
      <w:proofErr w:type="spellStart"/>
      <w:r>
        <w:t>Мокрин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Жарка</w:t>
      </w:r>
      <w:proofErr w:type="spellEnd"/>
      <w:r>
        <w:t xml:space="preserve"> </w:t>
      </w:r>
      <w:proofErr w:type="spellStart"/>
      <w:r>
        <w:t>Зрењанина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90, МБ 08021953, ПИБ 100710098,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Миљан</w:t>
      </w:r>
      <w:proofErr w:type="spellEnd"/>
      <w:r>
        <w:t xml:space="preserve"> </w:t>
      </w:r>
      <w:proofErr w:type="spellStart"/>
      <w:r>
        <w:t>Матовић</w:t>
      </w:r>
      <w:proofErr w:type="spellEnd"/>
      <w:r>
        <w:t xml:space="preserve">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Руди</w:t>
      </w:r>
      <w:proofErr w:type="spellEnd"/>
      <w:r>
        <w:t xml:space="preserve"> </w:t>
      </w:r>
      <w:proofErr w:type="spellStart"/>
      <w:r>
        <w:t>Чајавеца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43/22,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Leva 2020 </w:t>
      </w:r>
      <w:proofErr w:type="spellStart"/>
      <w:r>
        <w:t>d.o.o</w:t>
      </w:r>
      <w:proofErr w:type="spellEnd"/>
      <w:r>
        <w:t>. Beograd-</w:t>
      </w:r>
      <w:proofErr w:type="spellStart"/>
      <w:r>
        <w:t>Stari</w:t>
      </w:r>
      <w:proofErr w:type="spellEnd"/>
      <w:r>
        <w:t xml:space="preserve"> Grad, </w:t>
      </w:r>
      <w:proofErr w:type="spellStart"/>
      <w:r>
        <w:t>Београд</w:t>
      </w:r>
      <w:proofErr w:type="spellEnd"/>
      <w:r>
        <w:t xml:space="preserve"> -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Топличин</w:t>
      </w:r>
      <w:proofErr w:type="spellEnd"/>
      <w:r>
        <w:t xml:space="preserve"> </w:t>
      </w:r>
      <w:proofErr w:type="spellStart"/>
      <w:r>
        <w:t>венац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19А, МБ 21556637, ПИБ 111867991, а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ИИ-121/2025 </w:t>
      </w:r>
      <w:proofErr w:type="spellStart"/>
      <w:r>
        <w:t>од</w:t>
      </w:r>
      <w:proofErr w:type="spellEnd"/>
      <w:r>
        <w:t xml:space="preserve"> 17.07.2025.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493. </w:t>
      </w:r>
      <w:proofErr w:type="spellStart"/>
      <w:r>
        <w:t>ст</w:t>
      </w:r>
      <w:proofErr w:type="spellEnd"/>
      <w:r>
        <w:t xml:space="preserve">. 1. </w:t>
      </w:r>
      <w:proofErr w:type="spellStart"/>
      <w:r>
        <w:t>тач</w:t>
      </w:r>
      <w:proofErr w:type="spellEnd"/>
      <w:r>
        <w:t xml:space="preserve">.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106/2015, 106/2016 –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, 113/2017 – </w:t>
      </w:r>
      <w:proofErr w:type="spellStart"/>
      <w:r>
        <w:t>аутетично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 w:rsidR="005353C4">
        <w:t xml:space="preserve"> и 54/2019) у </w:t>
      </w:r>
      <w:proofErr w:type="spellStart"/>
      <w:r w:rsidR="005353C4">
        <w:t>вези</w:t>
      </w:r>
      <w:proofErr w:type="spellEnd"/>
      <w:r w:rsidR="005353C4">
        <w:t xml:space="preserve"> </w:t>
      </w:r>
      <w:proofErr w:type="spellStart"/>
      <w:r w:rsidR="005353C4">
        <w:t>са</w:t>
      </w:r>
      <w:proofErr w:type="spellEnd"/>
      <w:r w:rsidR="005353C4">
        <w:t xml:space="preserve"> </w:t>
      </w:r>
      <w:proofErr w:type="spellStart"/>
      <w:r w:rsidR="005353C4">
        <w:t>чланом</w:t>
      </w:r>
      <w:proofErr w:type="spellEnd"/>
      <w:r w:rsidR="005353C4">
        <w:t xml:space="preserve"> 183</w:t>
      </w:r>
      <w:r>
        <w:t xml:space="preserve">. </w:t>
      </w:r>
      <w:r w:rsidR="005353C4">
        <w:rPr>
          <w:lang w:val="sr-Cyrl-RS"/>
        </w:rPr>
        <w:t xml:space="preserve">ст. 3. </w:t>
      </w:r>
      <w:proofErr w:type="spellStart"/>
      <w:r>
        <w:t>истог</w:t>
      </w:r>
      <w:proofErr w:type="spellEnd"/>
      <w:r w:rsidR="00683169">
        <w:t xml:space="preserve"> </w:t>
      </w:r>
      <w:proofErr w:type="spellStart"/>
      <w:r w:rsidR="00683169">
        <w:t>закона</w:t>
      </w:r>
      <w:proofErr w:type="spellEnd"/>
      <w:r w:rsidR="00683169">
        <w:t xml:space="preserve">, </w:t>
      </w:r>
      <w:proofErr w:type="spellStart"/>
      <w:r w:rsidR="00683169">
        <w:t>дана</w:t>
      </w:r>
      <w:proofErr w:type="spellEnd"/>
      <w:r w:rsidR="00683169">
        <w:t xml:space="preserve"> 09.03</w:t>
      </w:r>
      <w:r w:rsidR="00106E8A">
        <w:t>.2026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:rsidR="000E283E" w:rsidRDefault="000E283E"/>
    <w:p w:rsidR="000E283E" w:rsidRDefault="00E76393" w:rsidP="005353C4">
      <w:pPr>
        <w:pStyle w:val="Heading1"/>
      </w:pPr>
      <w:bookmarkStart w:id="0" w:name="_Toc0"/>
      <w:r>
        <w:t>З А К Љ У Ч А К</w:t>
      </w:r>
      <w:bookmarkEnd w:id="0"/>
    </w:p>
    <w:p w:rsidR="00683169" w:rsidRDefault="00683169" w:rsidP="005353C4">
      <w:pPr>
        <w:pStyle w:val="Heading1"/>
      </w:pPr>
    </w:p>
    <w:p w:rsidR="000E283E" w:rsidRDefault="005353C4" w:rsidP="005B3382">
      <w:pPr>
        <w:jc w:val="both"/>
        <w:rPr>
          <w:lang w:val="sr-Cyrl-RS"/>
        </w:rPr>
      </w:pPr>
      <w:r w:rsidRPr="005353C4">
        <w:rPr>
          <w:b/>
          <w:lang w:val="sr-Cyrl-RS"/>
        </w:rPr>
        <w:t>УТВРЂУЈЕ СЕ</w:t>
      </w:r>
      <w:r>
        <w:rPr>
          <w:lang w:val="sr-Cyrl-RS"/>
        </w:rPr>
        <w:t xml:space="preserve"> неуспех другог јавног надмњтања одржаног на електронском јавном надметању дана 13.02.2026. године.</w:t>
      </w:r>
    </w:p>
    <w:p w:rsidR="005353C4" w:rsidRDefault="005353C4">
      <w:pPr>
        <w:rPr>
          <w:lang w:val="sr-Cyrl-RS"/>
        </w:rPr>
      </w:pPr>
    </w:p>
    <w:p w:rsidR="005353C4" w:rsidRDefault="005353C4" w:rsidP="005B3382">
      <w:pPr>
        <w:jc w:val="both"/>
        <w:rPr>
          <w:lang w:val="sr-Cyrl-RS"/>
        </w:rPr>
      </w:pPr>
      <w:r w:rsidRPr="005353C4">
        <w:rPr>
          <w:b/>
          <w:lang w:val="sr-Cyrl-RS"/>
        </w:rPr>
        <w:t>СТАВЉА СЕ ВАН СНАГЕ</w:t>
      </w:r>
      <w:r>
        <w:rPr>
          <w:lang w:val="sr-Cyrl-RS"/>
        </w:rPr>
        <w:t xml:space="preserve"> Закључак о продаји непокретности на другом електронском јавном надметању </w:t>
      </w:r>
      <w:r w:rsidR="005B3382">
        <w:rPr>
          <w:lang w:val="sr-Cyrl-RS"/>
        </w:rPr>
        <w:t>о</w:t>
      </w:r>
      <w:r>
        <w:rPr>
          <w:lang w:val="sr-Cyrl-RS"/>
        </w:rPr>
        <w:t>д 19.01.2026. године, те поновити ову другу јавну продају у року од 15 до 30 дана од дана доношења овог закључка.</w:t>
      </w:r>
    </w:p>
    <w:p w:rsidR="005353C4" w:rsidRDefault="005353C4">
      <w:pPr>
        <w:rPr>
          <w:lang w:val="sr-Cyrl-RS"/>
        </w:rPr>
      </w:pPr>
    </w:p>
    <w:p w:rsidR="005353C4" w:rsidRDefault="005B3382" w:rsidP="005B3382">
      <w:pPr>
        <w:jc w:val="both"/>
        <w:rPr>
          <w:lang w:val="sr-Cyrl-RS"/>
        </w:rPr>
      </w:pPr>
      <w:r w:rsidRPr="005B3382">
        <w:rPr>
          <w:b/>
          <w:lang w:val="sr-Cyrl-RS"/>
        </w:rPr>
        <w:t>ОБАВЕЗУЈЕ СЕ</w:t>
      </w:r>
      <w:r w:rsidR="005353C4">
        <w:rPr>
          <w:lang w:val="sr-Cyrl-RS"/>
        </w:rPr>
        <w:t xml:space="preserve"> јавни извршитељ Видоје Стојковић да новац положен за друго</w:t>
      </w:r>
      <w:r>
        <w:rPr>
          <w:lang w:val="sr-Cyrl-RS"/>
        </w:rPr>
        <w:t xml:space="preserve"> </w:t>
      </w:r>
      <w:r w:rsidR="005353C4">
        <w:rPr>
          <w:lang w:val="sr-Cyrl-RS"/>
        </w:rPr>
        <w:t>електронско јавном надметање одржано 13.02.2026. године врати у року од 8 дана од дана пријема тог новца</w:t>
      </w:r>
      <w:r>
        <w:rPr>
          <w:lang w:val="sr-Cyrl-RS"/>
        </w:rPr>
        <w:t>,</w:t>
      </w:r>
      <w:r w:rsidR="005353C4">
        <w:rPr>
          <w:lang w:val="sr-Cyrl-RS"/>
        </w:rPr>
        <w:t xml:space="preserve"> понудиоцу који је положио јемство.</w:t>
      </w:r>
    </w:p>
    <w:p w:rsidR="005353C4" w:rsidRDefault="005353C4">
      <w:pPr>
        <w:rPr>
          <w:lang w:val="sr-Cyrl-RS"/>
        </w:rPr>
      </w:pPr>
    </w:p>
    <w:p w:rsidR="005353C4" w:rsidRDefault="005353C4" w:rsidP="005353C4">
      <w:pPr>
        <w:jc w:val="center"/>
        <w:rPr>
          <w:b/>
          <w:lang w:val="sr-Cyrl-RS"/>
        </w:rPr>
      </w:pPr>
      <w:r w:rsidRPr="005353C4">
        <w:rPr>
          <w:b/>
          <w:lang w:val="sr-Cyrl-RS"/>
        </w:rPr>
        <w:t>О</w:t>
      </w:r>
      <w:r>
        <w:rPr>
          <w:b/>
          <w:lang w:val="sr-Cyrl-RS"/>
        </w:rPr>
        <w:t xml:space="preserve"> </w:t>
      </w:r>
      <w:r w:rsidRPr="005353C4">
        <w:rPr>
          <w:b/>
          <w:lang w:val="sr-Cyrl-RS"/>
        </w:rPr>
        <w:t>б</w:t>
      </w:r>
      <w:r>
        <w:rPr>
          <w:b/>
          <w:lang w:val="sr-Cyrl-RS"/>
        </w:rPr>
        <w:t xml:space="preserve"> </w:t>
      </w:r>
      <w:r w:rsidRPr="005353C4">
        <w:rPr>
          <w:b/>
          <w:lang w:val="sr-Cyrl-RS"/>
        </w:rPr>
        <w:t>р</w:t>
      </w:r>
      <w:r>
        <w:rPr>
          <w:b/>
          <w:lang w:val="sr-Cyrl-RS"/>
        </w:rPr>
        <w:t xml:space="preserve"> </w:t>
      </w:r>
      <w:r w:rsidRPr="005353C4">
        <w:rPr>
          <w:b/>
          <w:lang w:val="sr-Cyrl-RS"/>
        </w:rPr>
        <w:t>а</w:t>
      </w:r>
      <w:r>
        <w:rPr>
          <w:b/>
          <w:lang w:val="sr-Cyrl-RS"/>
        </w:rPr>
        <w:t xml:space="preserve"> </w:t>
      </w:r>
      <w:r w:rsidRPr="005353C4">
        <w:rPr>
          <w:b/>
          <w:lang w:val="sr-Cyrl-RS"/>
        </w:rPr>
        <w:t>з</w:t>
      </w:r>
      <w:r>
        <w:rPr>
          <w:b/>
          <w:lang w:val="sr-Cyrl-RS"/>
        </w:rPr>
        <w:t xml:space="preserve"> </w:t>
      </w:r>
      <w:r w:rsidRPr="005353C4">
        <w:rPr>
          <w:b/>
          <w:lang w:val="sr-Cyrl-RS"/>
        </w:rPr>
        <w:t>л</w:t>
      </w:r>
      <w:r>
        <w:rPr>
          <w:b/>
          <w:lang w:val="sr-Cyrl-RS"/>
        </w:rPr>
        <w:t xml:space="preserve"> </w:t>
      </w:r>
      <w:r w:rsidRPr="005353C4">
        <w:rPr>
          <w:b/>
          <w:lang w:val="sr-Cyrl-RS"/>
        </w:rPr>
        <w:t>о</w:t>
      </w:r>
      <w:r>
        <w:rPr>
          <w:b/>
          <w:lang w:val="sr-Cyrl-RS"/>
        </w:rPr>
        <w:t xml:space="preserve"> </w:t>
      </w:r>
      <w:r w:rsidRPr="005353C4">
        <w:rPr>
          <w:b/>
          <w:lang w:val="sr-Cyrl-RS"/>
        </w:rPr>
        <w:t>ж</w:t>
      </w:r>
      <w:r>
        <w:rPr>
          <w:b/>
          <w:lang w:val="sr-Cyrl-RS"/>
        </w:rPr>
        <w:t xml:space="preserve"> </w:t>
      </w:r>
      <w:r w:rsidRPr="005353C4">
        <w:rPr>
          <w:b/>
          <w:lang w:val="sr-Cyrl-RS"/>
        </w:rPr>
        <w:t>е</w:t>
      </w:r>
      <w:r>
        <w:rPr>
          <w:b/>
          <w:lang w:val="sr-Cyrl-RS"/>
        </w:rPr>
        <w:t xml:space="preserve"> </w:t>
      </w:r>
      <w:r w:rsidRPr="005353C4">
        <w:rPr>
          <w:b/>
          <w:lang w:val="sr-Cyrl-RS"/>
        </w:rPr>
        <w:t>њ</w:t>
      </w:r>
      <w:r>
        <w:rPr>
          <w:b/>
          <w:lang w:val="sr-Cyrl-RS"/>
        </w:rPr>
        <w:t xml:space="preserve"> </w:t>
      </w:r>
      <w:r w:rsidRPr="005353C4">
        <w:rPr>
          <w:b/>
          <w:lang w:val="sr-Cyrl-RS"/>
        </w:rPr>
        <w:t>е</w:t>
      </w:r>
    </w:p>
    <w:p w:rsidR="005353C4" w:rsidRDefault="005353C4" w:rsidP="005353C4">
      <w:pPr>
        <w:jc w:val="center"/>
        <w:rPr>
          <w:b/>
          <w:lang w:val="sr-Cyrl-RS"/>
        </w:rPr>
      </w:pPr>
    </w:p>
    <w:p w:rsidR="005353C4" w:rsidRDefault="005353C4" w:rsidP="005353C4">
      <w:pPr>
        <w:jc w:val="center"/>
        <w:rPr>
          <w:b/>
          <w:lang w:val="sr-Cyrl-RS"/>
        </w:rPr>
      </w:pPr>
    </w:p>
    <w:p w:rsidR="005353C4" w:rsidRDefault="005353C4" w:rsidP="005353C4">
      <w:pPr>
        <w:jc w:val="both"/>
        <w:rPr>
          <w:lang w:val="sr-Cyrl-RS"/>
        </w:rPr>
      </w:pPr>
      <w:r w:rsidRPr="005353C4">
        <w:rPr>
          <w:lang w:val="sr-Cyrl-RS"/>
        </w:rPr>
        <w:t>Дана 19.01.2026. године</w:t>
      </w:r>
      <w:r>
        <w:rPr>
          <w:lang w:val="sr-Cyrl-RS"/>
        </w:rPr>
        <w:t>, донет је закључак о продаји непокретности на другом електронском јавном надметању, огласио продају, за 13.02.2026. године и на основу извештаја Министарства правде Републике Србије исход јавног надметања је било успешно где се на јавном надметању појавио само један пону</w:t>
      </w:r>
      <w:r w:rsidR="005B3382">
        <w:rPr>
          <w:lang w:val="sr-Cyrl-RS"/>
        </w:rPr>
        <w:t>ђач, Ма</w:t>
      </w:r>
      <w:r>
        <w:rPr>
          <w:lang w:val="sr-Cyrl-RS"/>
        </w:rPr>
        <w:t>р</w:t>
      </w:r>
      <w:r w:rsidR="005B3382">
        <w:rPr>
          <w:lang w:val="sr-Cyrl-RS"/>
        </w:rPr>
        <w:t>к</w:t>
      </w:r>
      <w:r>
        <w:rPr>
          <w:lang w:val="sr-Cyrl-RS"/>
        </w:rPr>
        <w:t>о Топалов са ЈМБГ: 3108983804507.</w:t>
      </w:r>
    </w:p>
    <w:p w:rsidR="005353C4" w:rsidRDefault="005353C4" w:rsidP="005353C4">
      <w:pPr>
        <w:jc w:val="both"/>
        <w:rPr>
          <w:lang w:val="sr-Cyrl-RS"/>
        </w:rPr>
      </w:pPr>
    </w:p>
    <w:p w:rsidR="005353C4" w:rsidRDefault="005353C4" w:rsidP="005353C4">
      <w:pPr>
        <w:jc w:val="both"/>
        <w:rPr>
          <w:lang w:val="sr-Cyrl-RS"/>
        </w:rPr>
      </w:pPr>
      <w:r>
        <w:rPr>
          <w:lang w:val="sr-Cyrl-RS"/>
        </w:rPr>
        <w:t>Непосредно пре одржавања јавног надметања, однодносно, 12.02.2026. године, и на дан надметања, извршни поверилац, законски заступник извршног повериоца, као и пуномоћник извршног повериоца, су се у електронској форми обратили овом јавном извршитељу и Министарству правде, захтевајући образложење зашто они не могу да</w:t>
      </w:r>
      <w:r w:rsidR="00683169">
        <w:rPr>
          <w:lang w:val="sr-Cyrl-RS"/>
        </w:rPr>
        <w:t xml:space="preserve"> учествују</w:t>
      </w:r>
      <w:r w:rsidR="005B3382">
        <w:rPr>
          <w:lang w:val="sr-Cyrl-RS"/>
        </w:rPr>
        <w:t xml:space="preserve"> </w:t>
      </w:r>
      <w:r w:rsidR="00683169">
        <w:rPr>
          <w:lang w:val="sr-Cyrl-RS"/>
        </w:rPr>
        <w:t>као купци без полагања</w:t>
      </w:r>
      <w:r>
        <w:rPr>
          <w:lang w:val="sr-Cyrl-RS"/>
        </w:rPr>
        <w:t xml:space="preserve"> јемства иако су по закону ослобођени тога</w:t>
      </w:r>
      <w:r w:rsidR="00683169">
        <w:rPr>
          <w:lang w:val="sr-Cyrl-RS"/>
        </w:rPr>
        <w:t>.</w:t>
      </w:r>
    </w:p>
    <w:p w:rsidR="00683169" w:rsidRDefault="00683169" w:rsidP="005353C4">
      <w:pPr>
        <w:jc w:val="both"/>
        <w:rPr>
          <w:lang w:val="sr-Cyrl-RS"/>
        </w:rPr>
      </w:pPr>
    </w:p>
    <w:p w:rsidR="00683169" w:rsidRDefault="00683169" w:rsidP="005353C4">
      <w:pPr>
        <w:jc w:val="both"/>
        <w:rPr>
          <w:lang w:val="sr-Cyrl-RS"/>
        </w:rPr>
      </w:pPr>
      <w:r>
        <w:rPr>
          <w:lang w:val="sr-Cyrl-RS"/>
        </w:rPr>
        <w:t>Минситарство правде је овог јавно извршитеља тек 23.02.2026. године у 21:20 часова, електронским путем обавестило да је извршена провера у бази података и да је утврђено да смо унели лици ослобођено уплате јемства на нивоу закључка али не и на нивоу појединачних еаукција, те из тог разлога, систем није препознао пријаву и аутомацки је није одобрио, већ је поверилац добио инструкције за уплату јемства.</w:t>
      </w:r>
    </w:p>
    <w:p w:rsidR="00683169" w:rsidRDefault="00683169" w:rsidP="005353C4">
      <w:pPr>
        <w:jc w:val="both"/>
        <w:rPr>
          <w:lang w:val="sr-Cyrl-RS"/>
        </w:rPr>
      </w:pPr>
    </w:p>
    <w:p w:rsidR="00683169" w:rsidRDefault="00683169" w:rsidP="005353C4">
      <w:pPr>
        <w:jc w:val="both"/>
        <w:rPr>
          <w:lang w:val="sr-Cyrl-RS"/>
        </w:rPr>
      </w:pPr>
      <w:r>
        <w:rPr>
          <w:lang w:val="sr-Cyrl-RS"/>
        </w:rPr>
        <w:lastRenderedPageBreak/>
        <w:t>Стављањем ван снаге закључка И.И. 363/2025 од 19.01.2026. године, понуђач, неће бити оштећен, као ни извршни поверилац, већ се даје могућност да се и извршни поверилац и сви други заинтересовани понуђач такмичи</w:t>
      </w:r>
      <w:r w:rsidR="005B3382">
        <w:rPr>
          <w:lang w:val="sr-Cyrl-RS"/>
        </w:rPr>
        <w:t xml:space="preserve"> </w:t>
      </w:r>
      <w:bookmarkStart w:id="1" w:name="_GoBack"/>
      <w:bookmarkEnd w:id="1"/>
      <w:r>
        <w:rPr>
          <w:lang w:val="sr-Cyrl-RS"/>
        </w:rPr>
        <w:t>ради куповине предметне непокретности.</w:t>
      </w:r>
    </w:p>
    <w:p w:rsidR="00683169" w:rsidRDefault="00683169" w:rsidP="005353C4">
      <w:pPr>
        <w:jc w:val="both"/>
        <w:rPr>
          <w:lang w:val="sr-Cyrl-RS"/>
        </w:rPr>
      </w:pPr>
    </w:p>
    <w:p w:rsidR="00683169" w:rsidRPr="005353C4" w:rsidRDefault="00683169" w:rsidP="005353C4">
      <w:pPr>
        <w:jc w:val="both"/>
        <w:rPr>
          <w:lang w:val="sr-Cyrl-RS"/>
        </w:rPr>
      </w:pPr>
      <w:r>
        <w:rPr>
          <w:lang w:val="sr-Cyrl-RS"/>
        </w:rPr>
        <w:t xml:space="preserve">Имајући у виду све напред наведено одлучено је као у диспозитиву. </w:t>
      </w:r>
    </w:p>
    <w:p w:rsidR="005353C4" w:rsidRDefault="005353C4">
      <w:pPr>
        <w:rPr>
          <w:lang w:val="sr-Cyrl-RS"/>
        </w:rPr>
      </w:pPr>
    </w:p>
    <w:p w:rsidR="005353C4" w:rsidRPr="005353C4" w:rsidRDefault="005353C4">
      <w:pPr>
        <w:rPr>
          <w:lang w:val="sr-Cyrl-RS"/>
        </w:rPr>
      </w:pPr>
      <w:r>
        <w:rPr>
          <w:lang w:val="sr-Cyrl-RS"/>
        </w:rPr>
        <w:t xml:space="preserve"> </w:t>
      </w:r>
    </w:p>
    <w:p w:rsidR="000E283E" w:rsidRDefault="000E283E"/>
    <w:tbl>
      <w:tblPr>
        <w:tblStyle w:val="677e8d50"/>
        <w:tblW w:w="0" w:type="auto"/>
        <w:tblInd w:w="0" w:type="dxa"/>
        <w:tblLook w:val="04A0" w:firstRow="1" w:lastRow="0" w:firstColumn="1" w:lastColumn="0" w:noHBand="0" w:noVBand="1"/>
      </w:tblPr>
      <w:tblGrid>
        <w:gridCol w:w="4551"/>
        <w:gridCol w:w="2283"/>
        <w:gridCol w:w="3417"/>
      </w:tblGrid>
      <w:tr w:rsidR="000E283E">
        <w:trPr>
          <w:trHeight w:val="14"/>
        </w:trPr>
        <w:tc>
          <w:tcPr>
            <w:tcW w:w="4535" w:type="dxa"/>
            <w:noWrap/>
          </w:tcPr>
          <w:p w:rsidR="000E283E" w:rsidRDefault="00E76393">
            <w:pPr>
              <w:pStyle w:val="leftaligned"/>
            </w:pPr>
            <w:proofErr w:type="spellStart"/>
            <w:r>
              <w:rPr>
                <w:b/>
                <w:bCs/>
              </w:rPr>
              <w:t>Поука</w:t>
            </w:r>
            <w:proofErr w:type="spellEnd"/>
            <w:r>
              <w:rPr>
                <w:b/>
                <w:bCs/>
              </w:rPr>
              <w:t xml:space="preserve"> о </w:t>
            </w:r>
            <w:proofErr w:type="spellStart"/>
            <w:r>
              <w:rPr>
                <w:b/>
                <w:bCs/>
              </w:rPr>
              <w:t>правном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леку</w:t>
            </w:r>
            <w:proofErr w:type="spellEnd"/>
            <w:r>
              <w:rPr>
                <w:b/>
                <w:bCs/>
              </w:rPr>
              <w:t>:</w:t>
            </w:r>
          </w:p>
          <w:p w:rsidR="000E283E" w:rsidRDefault="00E76393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  <w:noWrap/>
          </w:tcPr>
          <w:p w:rsidR="000E283E" w:rsidRDefault="000E283E">
            <w:pPr>
              <w:pStyle w:val="leftaligned"/>
            </w:pPr>
          </w:p>
        </w:tc>
        <w:tc>
          <w:tcPr>
            <w:tcW w:w="3401" w:type="dxa"/>
            <w:noWrap/>
          </w:tcPr>
          <w:p w:rsidR="000E283E" w:rsidRDefault="00E76393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0E283E" w:rsidRDefault="000E283E">
            <w:pPr>
              <w:pStyle w:val="centeraligned"/>
            </w:pPr>
          </w:p>
          <w:p w:rsidR="000E283E" w:rsidRDefault="00E76393">
            <w:pPr>
              <w:pStyle w:val="centeraligned"/>
            </w:pPr>
            <w:r>
              <w:t>___________________</w:t>
            </w:r>
          </w:p>
          <w:p w:rsidR="000E283E" w:rsidRDefault="00E76393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E76393" w:rsidRDefault="00E76393"/>
    <w:sectPr w:rsidR="00E76393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7430AF"/>
    <w:multiLevelType w:val="multilevel"/>
    <w:tmpl w:val="AF3AC020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67B9C9F"/>
    <w:multiLevelType w:val="multilevel"/>
    <w:tmpl w:val="9710C86E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95DDC"/>
    <w:multiLevelType w:val="multilevel"/>
    <w:tmpl w:val="C44C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897F26"/>
    <w:multiLevelType w:val="hybridMultilevel"/>
    <w:tmpl w:val="A1EC7198"/>
    <w:lvl w:ilvl="0" w:tplc="9DD8EAE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F22D2"/>
    <w:multiLevelType w:val="multilevel"/>
    <w:tmpl w:val="6C1606CA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3E"/>
    <w:rsid w:val="000E283E"/>
    <w:rsid w:val="00106E8A"/>
    <w:rsid w:val="001832FF"/>
    <w:rsid w:val="005353C4"/>
    <w:rsid w:val="005B3382"/>
    <w:rsid w:val="00683169"/>
    <w:rsid w:val="00E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3B4B"/>
  <w15:docId w15:val="{F61E844D-A5CE-4A2E-85F0-3EC30B4C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5b280714">
    <w:name w:val="5b28071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77e8d50">
    <w:name w:val="677e8d50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2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2026-03-09T11:24:00Z</cp:lastPrinted>
  <dcterms:created xsi:type="dcterms:W3CDTF">2026-03-09T08:52:00Z</dcterms:created>
  <dcterms:modified xsi:type="dcterms:W3CDTF">2026-03-09T11:24:00Z</dcterms:modified>
  <cp:category/>
</cp:coreProperties>
</file>